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18131</w:t>
        <w:t xml:space="preserve">.  </w:t>
      </w:r>
      <w:r>
        <w:rPr>
          <w:b/>
        </w:rPr>
        <w:t xml:space="preserve">General qualifications</w:t>
      </w:r>
    </w:p>
    <w:p>
      <w:pPr>
        <w:jc w:val="both"/>
        <w:spacing w:before="100" w:after="100"/>
        <w:ind w:start="360"/>
        <w:ind w:firstLine="360"/>
      </w:pPr>
      <w:r>
        <w:rPr/>
      </w:r>
      <w:r>
        <w:rPr/>
      </w:r>
      <w:r>
        <w:t xml:space="preserve">An applicant for a license under this subchapter must submit a properly completed application on forms furnished by the board, together with the fee established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§18131.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