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18519</w:t>
        <w:t xml:space="preserve">.  </w:t>
      </w:r>
      <w:r>
        <w:rPr>
          <w:b/>
        </w:rPr>
        <w:t xml:space="preserve">Default procedures</w:t>
      </w:r>
    </w:p>
    <w:p>
      <w:pPr>
        <w:jc w:val="both"/>
        <w:spacing w:before="100" w:after="0"/>
        <w:ind w:start="360"/>
        <w:ind w:firstLine="360"/>
      </w:pPr>
      <w:r>
        <w:rPr>
          <w:b/>
        </w:rPr>
        <w:t>1</w:t>
        <w:t xml:space="preserve">.  </w:t>
      </w:r>
      <w:r>
        <w:rPr>
          <w:b/>
        </w:rPr>
        <w:t xml:space="preserve">Grounds.</w:t>
        <w:t xml:space="preserve"> </w:t>
      </w:r>
      <w:r>
        <w:t xml:space="preserve"> </w:t>
      </w:r>
      <w:r>
        <w:t xml:space="preserve">The grounds for default under </w:t>
      </w:r>
      <w:r>
        <w:t>section 18518</w:t>
      </w:r>
      <w:r>
        <w:t xml:space="preserve"> include, but are not limited to, failure of a member state to perform such obligations or responsibilities imposed upon it by the compact or the rules and bylaws of the interstate commission adopted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adopted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Termination.</w:t>
        <w:t xml:space="preserve"> </w:t>
      </w:r>
      <w:r>
        <w:t xml:space="preserve"> </w:t>
      </w:r>
      <w:r>
        <w:t xml:space="preserve">If a defaulting state fails to cure the default, the defaulting state must be terminated from the compact in accordance with </w:t>
      </w:r>
      <w:r>
        <w:t>subsection 4</w:t>
      </w:r>
      <w:r>
        <w:t xml:space="preserve"> upon an affirmative vote of a majority of the commissioners and all rights, privileges and benefits conferred by the compact terminate on the effective date of termination. 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Notice of intent.</w:t>
        <w:t xml:space="preserve"> </w:t>
      </w:r>
      <w:r>
        <w:t xml:space="preserve"> </w:t>
      </w:r>
      <w:r>
        <w:t xml:space="preserve">Termination of membership in the compact may be imposed only after all other means of securing compliance have been exhausted. Notice of intent to terminate must be given by the interstate commission to the governor of the defaulting state,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Rules.</w:t>
        <w:t xml:space="preserve"> </w:t>
      </w:r>
      <w:r>
        <w:t xml:space="preserve"> </w:t>
      </w:r>
      <w:r>
        <w:t xml:space="preserve">The interstate commission shall adopt rules pursuant to </w:t>
      </w:r>
      <w:r>
        <w:t>section 18516</w:t>
      </w:r>
      <w:r>
        <w:t xml:space="preserve"> and procedures to address licenses and physicians that are materially affected by the termination of a member state or the withdrawal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Obligations.</w:t>
        <w:t xml:space="preserve"> </w:t>
      </w:r>
      <w:r>
        <w:t xml:space="preserve"> </w:t>
      </w:r>
      <w:r>
        <w:t xml:space="preserve">A member state that has been terminated is responsible for all dues, obligations and liabilities incurred through the effective date of termination, including obligations the performance of which extends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Costs.</w:t>
        <w:t xml:space="preserve"> </w:t>
      </w:r>
      <w:r>
        <w:t xml:space="preserve"> </w:t>
      </w:r>
      <w:r>
        <w:t xml:space="preserve">The interstate commission may not bear any costs relating to any state that has been found to be in default or that has been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Appeal.</w:t>
        <w:t xml:space="preserve"> </w:t>
      </w:r>
      <w:r>
        <w:t xml:space="preserve"> </w:t>
      </w:r>
      <w:r>
        <w:t xml:space="preserve">A defaulting state may appeal an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§18519. Default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§18519. Default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§18519. DEFAULT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