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19302</w:t>
        <w:t xml:space="preserve">.  </w:t>
      </w:r>
      <w:r>
        <w:rPr>
          <w:b/>
        </w:rPr>
        <w:t xml:space="preserve">Licensure required</w:t>
      </w:r>
    </w:p>
    <w:p>
      <w:pPr>
        <w:jc w:val="both"/>
        <w:spacing w:before="100" w:after="100"/>
        <w:ind w:start="360"/>
        <w:ind w:firstLine="360"/>
      </w:pPr>
      <w:r>
        <w:rPr/>
      </w:r>
      <w:r>
        <w:rPr/>
      </w:r>
      <w:r>
        <w:t xml:space="preserve">An individual may not practice optometry in this State without first obtaining a license from the board, but this chapter does not apply to individuals already licensed to practice medicine within this State.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§19302. Licensure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§19302. Licensure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§19302. LICENSURE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