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19303</w:t>
        <w:t xml:space="preserve">.  </w:t>
      </w:r>
      <w:r>
        <w:rPr>
          <w:b/>
        </w:rPr>
        <w:t xml:space="preserve">Licensure by endorsement</w:t>
      </w:r>
    </w:p>
    <w:p>
      <w:pPr>
        <w:jc w:val="both"/>
        <w:spacing w:before="100" w:after="100"/>
        <w:ind w:start="360"/>
        <w:ind w:firstLine="360"/>
      </w:pPr>
      <w:r>
        <w:rPr>
          <w:b/>
        </w:rPr>
        <w:t>1</w:t>
        <w:t xml:space="preserve">.  </w:t>
      </w:r>
      <w:r>
        <w:rPr>
          <w:b/>
        </w:rPr>
        <w:t xml:space="preserve">Board to establish process.</w:t>
        <w:t xml:space="preserve"> </w:t>
      </w:r>
      <w:r>
        <w:t xml:space="preserve"> </w:t>
      </w:r>
      <w:r>
        <w:t xml:space="preserve">The board shall establish a process to issue a license by endorsement to a license applicant who presents proof of licensure by another jurisdiction of the United States or a territory of the United States as long as the other jurisdiction or territory maintains substantially equivalent license requirements for the licensed profession or occupation and as long as:</w:t>
      </w:r>
    </w:p>
    <w:p>
      <w:pPr>
        <w:jc w:val="both"/>
        <w:spacing w:before="100" w:after="0"/>
        <w:ind w:start="720"/>
      </w:pPr>
      <w:r>
        <w:rPr/>
        <w:t>A</w:t>
        <w:t xml:space="preserve">.  </w:t>
      </w:r>
      <w:r>
        <w:rPr/>
      </w:r>
      <w:r>
        <w:t xml:space="preserve">The license applicant is in good standing in all jurisdictions in which the license applicant holds or has held a license.  For purposes of this paragraph, "good standing" means that the license applicant does not have a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Cause for denial of a license does not exist under </w:t>
      </w:r>
      <w:r>
        <w:t>section 19402</w:t>
      </w:r>
      <w:r>
        <w:t xml:space="preserve"> or under any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license applicant pays the fee, if any, pursuant to </w:t>
      </w:r>
      <w:r>
        <w:t>section 19202, subsection 3</w:t>
      </w:r>
      <w:r>
        <w:t xml:space="preserve"> and </w:t>
      </w:r>
      <w:r>
        <w:t>Title 10, chapter 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license applicant passes a jurisprudence examination.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Rules.</w:t>
        <w:t xml:space="preserve"> </w:t>
      </w:r>
      <w:r>
        <w:t xml:space="preserve"> </w:t>
      </w:r>
      <w:r>
        <w:t xml:space="preserve">The board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§19303.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§19303.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§19303.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