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Disposition of funds</w:t>
      </w:r>
    </w:p>
    <w:p>
      <w:pPr>
        <w:jc w:val="both"/>
        <w:spacing w:before="100" w:after="100"/>
        <w:ind w:start="360"/>
        <w:ind w:firstLine="360"/>
      </w:pPr>
      <w:r>
        <w:rPr/>
      </w:r>
      <w:r>
        <w:rPr/>
      </w:r>
      <w:r>
        <w:t xml:space="preserve">All money received by the board under this chapter must be paid to the Treasurer of State. The Treasurer of State shall place the money to the credit of the State Board of Nursing Fund. All amounts paid into this fund must be held subject to the order of the board to be used only for the expenses incurred in the performance of the purpose of this chapter and the duties imposed by it as well as the promotion of nursing education and standards of nursing care in this State.</w:t>
      </w:r>
      <w:r>
        <w:t xml:space="preserve">  </w:t>
      </w:r>
      <w:r xmlns:wp="http://schemas.openxmlformats.org/drawingml/2010/wordprocessingDrawing" xmlns:w15="http://schemas.microsoft.com/office/word/2012/wordml">
        <w:rPr>
          <w:rFonts w:ascii="Arial" w:hAnsi="Arial" w:cs="Arial"/>
          <w:sz w:val="22"/>
          <w:szCs w:val="22"/>
        </w:rPr>
        <w:t xml:space="preserve">[PL 1993, c. 600, Pt. A, §125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§2156. Disposition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Disposition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§2156. DISPOSITION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