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1983, c. 413, §116 (AMD). PL 1997, c. 82, §3 (AMD). PL 1999, c. 386, §J9 (AMD). PL 1999, c. 547, §B78 (AMD). PL 1999, c. 547, §B80 (AFF). PL 2003, c. 452, §R5 (RPR). PL 2003, c. 452, §X2 (AFF). PL 2007, c. 402, Pt. M, §§5, 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§2317.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§2317.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