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Penalties</w:t>
      </w:r>
    </w:p>
    <w:p>
      <w:pPr>
        <w:jc w:val="both"/>
        <w:spacing w:before="100" w:after="100"/>
        <w:ind w:start="360"/>
        <w:ind w:firstLine="360"/>
      </w:pPr>
      <w:r>
        <w:rPr/>
      </w:r>
      <w:r>
        <w:rPr/>
      </w:r>
      <w:r>
        <w:t xml:space="preserve">Any person who violates </w:t>
      </w:r>
      <w:r>
        <w:t>section 285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547, §B78 (AMD). PL 1999, c. 547, §B80 (AFF). PL 2007, c. 402,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