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 NONRESIDENT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