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Body piercing of minors</w:t>
      </w:r>
    </w:p>
    <w:p>
      <w:pPr>
        <w:jc w:val="both"/>
        <w:spacing w:before="100" w:after="100"/>
        <w:ind w:start="360"/>
        <w:ind w:firstLine="360"/>
      </w:pPr>
      <w:r>
        <w:rPr/>
      </w:r>
      <w:r>
        <w:rPr/>
      </w:r>
      <w:r>
        <w:t xml:space="preserve">A body piercer may not perform body piercing on a minor unless the individual obtains the prior written consent of the minor's parent or legal guardian.  The prohibition contained in this section does not apply if:</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Proper identification.</w:t>
        <w:t xml:space="preserve"> </w:t>
      </w:r>
      <w:r>
        <w:t xml:space="preserve"> </w:t>
      </w:r>
      <w:r>
        <w:t xml:space="preserve">The body piercer has been furnished with proper identification showing that the individual is 18 years of age or 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Age.</w:t>
        <w:t xml:space="preserve"> </w:t>
      </w:r>
      <w:r>
        <w:t xml:space="preserve"> </w:t>
      </w:r>
      <w:r>
        <w:t xml:space="preserve">The body piercer reasonably believes such a minor to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§4323. Body piercing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Body piercing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§4323. BODY PIERCING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