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4324</w:t>
      </w:r>
      <w:r>
        <w:t xml:space="preserve">, violates the sterilization, sanitation or safety standards adopted by the department under </w:t>
      </w:r>
      <w:r>
        <w:t>section 4326</w:t>
      </w:r>
      <w:r>
        <w:t xml:space="preserve"> or performs body piercing on a minor without parental consent under </w:t>
      </w:r>
      <w:r>
        <w:t>section 4323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§9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§17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C</w:t>
        <w:t xml:space="preserve">.  </w:t>
      </w:r>
      <w:r>
        <w:rPr/>
      </w:r>
      <w:r>
        <w:t xml:space="preserve">The applicant or licensee has demonstrated negligence or incompetence or has endangered the public in the practice of body piercing; or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§38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2013, c. 264, §17 (RPR). PL 2021, c. 125, §38 (AMD). PL 2023, c. 113,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