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696, §250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any person who purchases or contracts for the purchase of merchandise for any purpose, except resale in the ordinary course of trade or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w:t>
      </w:r>
    </w:p>
    <w:p>
      <w:pPr>
        <w:jc w:val="both"/>
        <w:spacing w:before="100" w:after="0"/>
        <w:ind w:start="360"/>
        <w:ind w:firstLine="360"/>
      </w:pPr>
      <w:r>
        <w:rPr>
          <w:b/>
        </w:rPr>
        <w:t>2</w:t>
        <w:t xml:space="preserve">.  </w:t>
      </w:r>
      <w:r>
        <w:rPr>
          <w:b/>
        </w:rPr>
        <w:t xml:space="preserve">Merchandise.</w:t>
        <w:t xml:space="preserve"> </w:t>
      </w:r>
      <w:r>
        <w:t xml:space="preserve"> </w:t>
      </w:r>
      <w:r>
        <w:t xml:space="preserve">"Merchandise" includes any objects, wares, goods, commodities, intangibles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w:t>
      </w:r>
    </w:p>
    <w:p>
      <w:pPr>
        <w:jc w:val="both"/>
        <w:spacing w:before="100" w:after="0"/>
        <w:ind w:start="360"/>
        <w:ind w:firstLine="360"/>
      </w:pPr>
      <w:r>
        <w:rPr>
          <w:b/>
        </w:rPr>
        <w:t>2-A</w:t>
        <w:t xml:space="preserve">.  </w:t>
      </w:r>
      <w:r>
        <w:rPr>
          <w:b/>
        </w:rPr>
        <w:t xml:space="preserve">Permanent place of business.</w:t>
        <w:t xml:space="preserve"> </w:t>
      </w:r>
      <w:r>
        <w:t xml:space="preserve"> </w:t>
      </w:r>
      <w:r>
        <w:t xml:space="preserve">"Permanent place of business" means the building or other permanently affixed structure, including a home residence, which is used in whole or in part for the purpose of engaging in sales of consumer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202, §1 (NEW).]</w:t>
      </w:r>
    </w:p>
    <w:p>
      <w:pPr>
        <w:jc w:val="both"/>
        <w:spacing w:before="100" w:after="0"/>
        <w:ind w:start="360"/>
        <w:ind w:firstLine="360"/>
      </w:pPr>
      <w:r>
        <w:rPr>
          <w:b/>
        </w:rPr>
        <w:t>3</w:t>
        <w:t xml:space="preserve">.  </w:t>
      </w:r>
      <w:r>
        <w:rPr>
          <w:b/>
        </w:rPr>
        <w:t xml:space="preserve">Person.</w:t>
        <w:t xml:space="preserve"> </w:t>
      </w:r>
      <w:r>
        <w:t xml:space="preserve"> </w:t>
      </w:r>
      <w:r>
        <w:t xml:space="preserve">"Person" includes any individual, firm, copartnership, association, society, club, corporation, estate, trust and any agent, employee, salesman, partner, officer, director, member, stockholder or trustee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w:t>
      </w:r>
    </w:p>
    <w:p>
      <w:pPr>
        <w:jc w:val="both"/>
        <w:spacing w:before="100" w:after="0"/>
        <w:ind w:start="360"/>
        <w:ind w:firstLine="360"/>
      </w:pPr>
      <w:r>
        <w:rPr>
          <w:b/>
        </w:rPr>
        <w:t>4</w:t>
        <w:t xml:space="preserve">.  </w:t>
      </w:r>
      <w:r>
        <w:rPr>
          <w:b/>
        </w:rPr>
        <w:t xml:space="preserve">Sale.</w:t>
        <w:t xml:space="preserve"> </w:t>
      </w:r>
      <w:r>
        <w:t xml:space="preserve"> </w:t>
      </w:r>
      <w:r>
        <w:t xml:space="preserve">"Sale" includes any sale, transfer, exchange or barter, offer for sale or attempt to sell any merchandise for cash or on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1977, c. 696, §250 (AMD). PL 1987, c. 202,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