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§6174-B. Counselor certification; consumer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§6174-B. COUNSELOR CERTIFICATION; CONSUMER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