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6180</w:t>
        <w:t xml:space="preserve">.  </w:t>
      </w:r>
      <w:r>
        <w:rPr>
          <w:b/>
        </w:rPr>
        <w:t xml:space="preserve">Advertising</w:t>
      </w:r>
    </w:p>
    <w:p>
      <w:pPr>
        <w:jc w:val="both"/>
        <w:spacing w:before="100" w:after="0"/>
        <w:ind w:start="360"/>
        <w:ind w:firstLine="360"/>
      </w:pPr>
      <w:r>
        <w:rPr>
          <w:b/>
        </w:rPr>
        <w:t>1</w:t>
        <w:t xml:space="preserve">.  </w:t>
      </w:r>
      <w:r>
        <w:rPr>
          <w:b/>
        </w:rPr>
        <w:t xml:space="preserve">False advertising.</w:t>
        <w:t xml:space="preserve"> </w:t>
      </w:r>
      <w:r>
        <w:t xml:space="preserve"> </w:t>
      </w:r>
      <w:r>
        <w:t xml:space="preserve">A debt management service provider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Dissemination; no liability.</w:t>
        <w:t xml:space="preserve"> </w:t>
      </w:r>
      <w:r>
        <w:t xml:space="preserve"> </w:t>
      </w:r>
      <w:r>
        <w:t xml:space="preserve">This section does not impose liability on the owner or personnel of any medium in which an advertisement appears or through which an advertisement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§6180.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§6180.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§6180.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