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9861</w:t>
        <w:t xml:space="preserve">.  </w:t>
      </w:r>
      <w:r>
        <w:rPr>
          <w:b/>
        </w:rPr>
        <w:t xml:space="preserve">Unlicensed practice</w:t>
      </w:r>
    </w:p>
    <w:p>
      <w:pPr>
        <w:jc w:val="both"/>
        <w:spacing w:before="100" w:after="0"/>
        <w:ind w:start="360"/>
        <w:ind w:firstLine="360"/>
      </w:pPr>
      <w:r>
        <w:rPr>
          <w:b/>
        </w:rPr>
        <w:t>1</w:t>
        <w:t xml:space="preserve">.  </w:t>
      </w:r>
      <w:r>
        <w:rPr>
          <w:b/>
        </w:rPr>
        <w:t xml:space="preserve">Penalties.</w:t>
        <w:t xml:space="preserve"> </w:t>
      </w:r>
      <w:r>
        <w:t xml:space="preserve"> </w:t>
      </w:r>
      <w:r>
        <w:t xml:space="preserve">Any person who violates </w:t>
      </w:r>
      <w:r>
        <w:t>section 9854</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§7 (AMD).]</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1999, c. 547, §B78 (AMD). PL 1999, c. 547, §B80 (AFF). PL 2007, c. 402, Pt. X,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§9861.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§9861.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§9861.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