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9912</w:t>
        <w:t xml:space="preserve">.  </w:t>
      </w:r>
      <w:r>
        <w:rPr>
          <w:b/>
        </w:rPr>
        <w:t xml:space="preserve">Reciprocity</w:t>
      </w:r>
    </w:p>
    <w:p>
      <w:pPr>
        <w:jc w:val="both"/>
        <w:spacing w:before="100" w:after="100"/>
        <w:ind w:start="360"/>
        <w:ind w:firstLine="360"/>
      </w:pPr>
      <w:r>
        <w:rPr/>
      </w:r>
      <w:r>
        <w:rPr/>
      </w:r>
      <w:r>
        <w:t xml:space="preserve">The board may, in its discretion, grant a license under this chapter to an individual licensed in another state if it determines that the requirements or standards for licensure in that state are equivalent to, or greater than, those established by this chapter.  The board may not require an individual licensed in another state to meet requirements or standards for licensure in the State that are more stringent than requirements or standards for licensure imposed on in-state applicants.</w:t>
      </w:r>
      <w:r>
        <w:t xml:space="preserve">  </w:t>
      </w:r>
      <w:r xmlns:wp="http://schemas.openxmlformats.org/drawingml/2010/wordprocessingDrawing" xmlns:w15="http://schemas.microsoft.com/office/word/2012/wordml">
        <w:rPr>
          <w:rFonts w:ascii="Arial" w:hAnsi="Arial" w:cs="Arial"/>
          <w:sz w:val="22"/>
          <w:szCs w:val="22"/>
        </w:rPr>
        <w:t xml:space="preserve">[PL 1995, c. 402,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§8 (AMD). PL 1995, c. 402, §A35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§9912.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§9912.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§9912.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