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§1603-104. TRANSFER OF SPECIAL DECLARANT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