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Notice to apparent owner by holder</w:t>
      </w:r>
    </w:p>
    <w:p>
      <w:pPr>
        <w:jc w:val="both"/>
        <w:spacing w:before="100" w:after="100"/>
        <w:ind w:start="360"/>
        <w:ind w:firstLine="360"/>
      </w:pPr>
      <w:r>
        <w:rPr>
          <w:b/>
        </w:rPr>
        <w:t>1</w:t>
        <w:t xml:space="preserve">.  </w:t>
      </w:r>
      <w:r>
        <w:rPr>
          <w:b/>
        </w:rPr>
        <w:t xml:space="preserve">Notice to apparent owner.</w:t>
        <w:t xml:space="preserve"> </w:t>
      </w:r>
      <w:r>
        <w:t xml:space="preserve"> </w:t>
      </w:r>
      <w:r>
        <w:t xml:space="preserve">Subject to </w:t>
      </w:r>
      <w:r>
        <w:t>subsection 2</w:t>
      </w:r>
      <w:r>
        <w:t xml:space="preserve">, the holder of property presumed abandoned shall send to the apparent owner notice by first class United States mail that complies with </w:t>
      </w:r>
      <w:r>
        <w:t>section 2102</w:t>
      </w:r>
      <w:r>
        <w:t xml:space="preserve"> in a format acceptable to the administrator not more than 180 days nor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is sufficient to direct the delivery of first class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held for an owner in aggregate is $50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§48 (COR).]</w:t>
      </w:r>
    </w:p>
    <w:p>
      <w:pPr>
        <w:jc w:val="both"/>
        <w:spacing w:before="100" w:after="0"/>
        <w:ind w:start="360"/>
        <w:ind w:firstLine="360"/>
      </w:pPr>
      <w:r>
        <w:rPr>
          <w:b/>
        </w:rPr>
        <w:t>2</w:t>
        <w:t xml:space="preserve">.  </w:t>
      </w:r>
      <w:r>
        <w:rPr>
          <w:b/>
        </w:rPr>
        <w:t xml:space="preserve">E-mail.</w:t>
        <w:t xml:space="preserve"> </w:t>
      </w:r>
      <w:r>
        <w:t xml:space="preserve"> </w:t>
      </w:r>
      <w:r>
        <w:t xml:space="preserve">If an apparent owner has consented to receive e-mail delivery from the holder, the holder shall send the notice described in </w:t>
      </w:r>
      <w:r>
        <w:t>subsection 1</w:t>
      </w:r>
      <w:r>
        <w:t xml:space="preserve"> both by first class United States mail to the apparent owner's last known mailing address and by e-mail, unless the holder believes that the apparent owner's e-mail address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Notice; tax deferred account or security.</w:t>
        <w:t xml:space="preserve"> </w:t>
      </w:r>
      <w:r>
        <w:t xml:space="preserve"> </w:t>
      </w:r>
      <w:r>
        <w:t xml:space="preserve">The holder of securities presumed abandoned under </w:t>
      </w:r>
      <w:r>
        <w:t>section 2062</w:t>
      </w:r>
      <w:r>
        <w:t xml:space="preserve">, </w:t>
      </w:r>
      <w:r>
        <w:t>2063</w:t>
      </w:r>
      <w:r>
        <w:t xml:space="preserve"> or </w:t>
      </w:r>
      <w:r>
        <w:t>2068</w:t>
      </w:r>
      <w:r>
        <w:t xml:space="preserve"> shall send to the apparent owner notice by certified United States mail that complies with </w:t>
      </w:r>
      <w:r>
        <w:t>section 2102</w:t>
      </w:r>
      <w:r>
        <w:t xml:space="preserve"> in a format acceptable to the administrator not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that is sufficient to direct the delivery of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is $1,000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Return receipt constitutes record communicated by apparent owner.</w:t>
        <w:t xml:space="preserve"> </w:t>
      </w:r>
      <w:r>
        <w:t xml:space="preserve"> </w:t>
      </w:r>
      <w:r>
        <w:t xml:space="preserve">In addition to other indications of an apparent owner's interest in property pursuant to </w:t>
      </w:r>
      <w:r>
        <w:t>section 2070</w:t>
      </w:r>
      <w:r>
        <w:t xml:space="preserve">, a signed return receipt in response to a notice sent pursuant to this section by certified United States mail constitutes a record communicated by the apparent owner to the holder concerning the property or the account in which the property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1, Pt. A,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Notice to apparent owner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Notice to apparent owner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§2101. NOTICE TO APPARENT OWNER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