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Notice by administrator</w:t>
      </w:r>
    </w:p>
    <w:p>
      <w:pPr>
        <w:jc w:val="both"/>
        <w:spacing w:before="100" w:after="0"/>
        <w:ind w:start="360"/>
        <w:ind w:firstLine="360"/>
      </w:pPr>
      <w:r>
        <w:rPr>
          <w:b/>
        </w:rPr>
        <w:t>1</w:t>
        <w:t xml:space="preserve">.  </w:t>
      </w:r>
      <w:r>
        <w:rPr>
          <w:b/>
        </w:rPr>
        <w:t xml:space="preserve">Website; apparent owners.</w:t>
        <w:t xml:space="preserve"> </w:t>
      </w:r>
      <w:r>
        <w:t xml:space="preserve"> </w:t>
      </w:r>
      <w:r>
        <w:t xml:space="preserve">The administrator shall maintain a website accessible by the public and electronically searchable that contains the names reported to the administrator of all apparent owners for whom property is being held by the administrator.  The administrator may exclude certain properties from publication on this website if reasonable exclusion serves the best interest of the State and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Instructions for filing.</w:t>
        <w:t xml:space="preserve"> </w:t>
      </w:r>
      <w:r>
        <w:t xml:space="preserve"> </w:t>
      </w:r>
      <w:r>
        <w:t xml:space="preserve">The website must include instructions for filing with the administrator a claim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Other communications and media.</w:t>
        <w:t xml:space="preserve"> </w:t>
      </w:r>
      <w:r>
        <w:t xml:space="preserve"> </w:t>
      </w:r>
      <w:r>
        <w:t xml:space="preserve">The administrator may use any printed publication, telecommunication, the Internet or other media to inform the public of the existence of unclaimed property held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§2103. Notice by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Notice by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§2103. NOTICE BY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