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w:t>
        <w:t xml:space="preserve">.  </w:t>
      </w:r>
      <w:r>
        <w:rPr>
          <w:b/>
        </w:rPr>
        <w:t xml:space="preserve">Users subject to land</w:t>
      </w:r>
    </w:p>
    <w:p>
      <w:pPr>
        <w:jc w:val="both"/>
        <w:spacing w:before="100" w:after="100"/>
        <w:ind w:start="360"/>
        <w:ind w:firstLine="360"/>
      </w:pPr>
      <w:r>
        <w:rPr/>
      </w:r>
      <w:r>
        <w:rPr/>
      </w:r>
      <w:r>
        <w:t xml:space="preserve">All unit owners, tenants of such owners, employees of owners and tenants, or any other persons who may in any manner use property or any part thereof submitted to the provisions of this chapter shall be subject to this chapter and to the declaration and bylaws of the association of unit owners.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100"/>
        <w:ind w:start="360"/>
        <w:ind w:firstLine="360"/>
      </w:pPr>
      <w:r>
        <w:rPr/>
      </w:r>
      <w:r>
        <w:rPr/>
      </w:r>
      <w:r>
        <w:t xml:space="preserve">All agreements, decisions and determinations lawfully made by the association of unit owners in accordance with the voting percentages established in this chapter, declaration or bylaws, shall be binding on all unit owners.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§586. Users subject to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 Users subject to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§586. USERS SUBJECT TO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