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11253</w:t>
        <w:t xml:space="preserve">.  </w:t>
      </w:r>
      <w:r>
        <w:rPr>
          <w:b/>
        </w:rPr>
        <w:t xml:space="preserve">Risk assessment</w:t>
      </w:r>
    </w:p>
    <w:p>
      <w:pPr>
        <w:jc w:val="both"/>
        <w:spacing w:before="100" w:after="100"/>
        <w:ind w:start="360"/>
        <w:ind w:firstLine="360"/>
      </w:pPr>
      <w:r>
        <w:rPr/>
      </w:r>
      <w:r>
        <w:rPr/>
      </w:r>
      <w:r>
        <w:t xml:space="preserve">The department shall establish and apply a risk assessment instrument to each registrant under its jurisdiction for the purpose of notification to law enforcement agencies and to the public.</w:t>
      </w:r>
      <w:r>
        <w:t xml:space="preserve">  </w:t>
      </w:r>
      <w:r xmlns:wp="http://schemas.openxmlformats.org/drawingml/2010/wordprocessingDrawing" xmlns:w15="http://schemas.microsoft.com/office/word/2012/wordml">
        <w:rPr>
          <w:rFonts w:ascii="Arial" w:hAnsi="Arial" w:cs="Arial"/>
          <w:sz w:val="22"/>
          <w:szCs w:val="22"/>
        </w:rPr>
        <w:t xml:space="preserve">[PL 2003, c. 711, Pt. C, §26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§C26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§11253. Risk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§11253. Risk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§11253. RISK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