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department, bureau or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The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the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3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found not guilty by reason of insanity or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Inform the offender of the requirement to notify the law enforcement agency having jurisdiction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Inform the offender that if the offender changes domicile or changes residence, place of employment or college or school being attended, the offender shall give the new address to the bureau in writing within 3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Inform the offender that if that offender changes domicile to another jurisdiction, the offender shall register the new address with the bureau and if the new jurisdiction has a registration requirement, the offender shall register with a designated law enforcement agency in the new state not later than 3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3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Obtain fingerprints and a current photograph of the offender.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4</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Verification.</w:t>
        <w:t xml:space="preserve"> </w:t>
      </w:r>
      <w:r>
        <w:t xml:space="preserve"> </w:t>
      </w:r>
      <w:r>
        <w:t xml:space="preserve">During the period a registrant is required to register, the bureau shall require the registrant to verify all registration information unless verifications are suspended.  The following provisions govern the verification of registration information.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registrant shall bring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§15 (AMD).]</w:t>
      </w:r>
    </w:p>
    <w:p>
      <w:pPr>
        <w:jc w:val="both"/>
        <w:spacing w:before="100" w:after="100"/>
        <w:ind w:start="360"/>
        <w:ind w:firstLine="360"/>
      </w:pPr>
      <w:r>
        <w:rPr>
          <w:b/>
        </w:rPr>
        <w:t>7</w:t>
        <w:t xml:space="preserve">.  </w:t>
      </w:r>
      <w:r>
        <w:rPr>
          <w:b/>
        </w:rPr>
        <w:t xml:space="preserve">Frequency of verification.</w:t>
        <w:t xml:space="preserve"> </w:t>
      </w:r>
      <w:r>
        <w:t xml:space="preserve"> </w:t>
      </w:r>
      <w:r>
        <w:t xml:space="preserve">The frequency of in-person verification of registration information is dependent upon the registrant's tier classification as follows.</w:t>
      </w:r>
    </w:p>
    <w:p>
      <w:pPr>
        <w:jc w:val="both"/>
        <w:spacing w:before="100" w:after="0"/>
        <w:ind w:start="720"/>
      </w:pPr>
      <w:r>
        <w:rPr/>
        <w:t>A</w:t>
        <w:t xml:space="preserve">.  </w:t>
      </w:r>
      <w:r>
        <w:rPr/>
      </w:r>
      <w:r>
        <w:t xml:space="preserve">A Tier III registrant shall register for the duration of the registrant's life and shall verify registration information every 3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B</w:t>
        <w:t xml:space="preserve">.  </w:t>
      </w:r>
      <w:r>
        <w:rPr/>
      </w:r>
      <w:r>
        <w:t xml:space="preserve">A Tier II registrant shall register for 25 years and shall verify registration information every 6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C</w:t>
        <w:t xml:space="preserve">.  </w:t>
      </w:r>
      <w:r>
        <w:rPr/>
      </w:r>
      <w:r>
        <w:t xml:space="preserve">A Tier I registrant shall register for 10 years and shall verify registration information annually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§16 (AMD).]</w:t>
      </w:r>
    </w:p>
    <w:p>
      <w:pPr>
        <w:jc w:val="both"/>
        <w:spacing w:before="100" w:after="100"/>
        <w:ind w:start="360"/>
        <w:ind w:firstLine="360"/>
      </w:pPr>
      <w:r>
        <w:rPr>
          <w:b/>
        </w:rPr>
        <w:t>8</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3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§11282. Duty of offender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§11282. Duty of offender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§11282. DUTY OF OFFENDER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