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3040</w:t>
        <w:t xml:space="preserve">.  </w:t>
      </w:r>
      <w:r>
        <w:rPr>
          <w:b/>
        </w:rPr>
        <w:t xml:space="preserve">Clients' property presumed abandoned</w:t>
      </w:r>
    </w:p>
    <w:p>
      <w:pPr>
        <w:jc w:val="both"/>
        <w:spacing w:before="100" w:after="100"/>
        <w:ind w:start="360"/>
        <w:ind w:firstLine="360"/>
      </w:pPr>
      <w:r>
        <w:rPr/>
      </w:r>
      <w:r>
        <w:rPr/>
      </w:r>
      <w:r>
        <w:t xml:space="preserve">Any property abandoned or unclaimed by a client in a correctional or detention facility must be disposed of according to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§46 (AMD). PL 2003, c. 20, §T32 (AMD). PL 2019, c. 498,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§3040. Clients' property presumed abandoned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§3040. Clients' property presumed abandoned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§3040. CLIENTS' PROPERTY PRESUMED ABANDONED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