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Transportation</w:t>
      </w:r>
    </w:p>
    <w:p>
      <w:pPr>
        <w:jc w:val="both"/>
        <w:spacing w:before="100" w:after="100"/>
        <w:ind w:start="360"/>
        <w:ind w:firstLine="360"/>
      </w:pPr>
      <w:r>
        <w:rPr/>
      </w:r>
      <w:r>
        <w:rPr/>
      </w:r>
      <w:r>
        <w:t xml:space="preserve">All court-ordered and court-related transportation of juvenile detainees to and from the Long Creek Youth Development Center is the responsibility of the sheriff of the county in which the court is located.</w:t>
      </w:r>
      <w:r>
        <w:t xml:space="preserve">  </w:t>
      </w:r>
      <w:r xmlns:wp="http://schemas.openxmlformats.org/drawingml/2010/wordprocessingDrawing" xmlns:w15="http://schemas.microsoft.com/office/word/2012/wordml">
        <w:rPr>
          <w:rFonts w:ascii="Arial" w:hAnsi="Arial" w:cs="Arial"/>
          <w:sz w:val="22"/>
          <w:szCs w:val="22"/>
        </w:rPr>
        <w:t xml:space="preserve">[PL 1991, c. 314, §65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§65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§3814.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§3814.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