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§9203. Contracts--Article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Contracts--Article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§9203. CONTRACTS--ARTICLE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