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9882</w:t>
        <w:t xml:space="preserve">.  </w:t>
      </w:r>
      <w:r>
        <w:rPr>
          <w:b/>
        </w:rPr>
        <w:t xml:space="preserve">Withdrawal, default, termination and judicial enforcement--Article 12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into law.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Fines, fees and costs in such amounts as are determined to be reasonable as fixed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Remedial training and technical assistance as directed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Suspension and termination of membership in the compact.  Suspension is imposed only after all other reasonable means of securing compliance under the bylaws and rules have been exhausted.  Immediate notice of suspension must be given by the interstate commission to the governor, the chief justice or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in addition to any other penalties imposed in this section the defaulting state may be terminated from the compact upon an affirmative vote of a majority of the compacting states and all rights, privileges and benefits conferred by this compact are terminated from the effective date of suspension.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court where the interstate commission has its offices to enforce compliance with the provisions of the compact, its duly promulgated rules and its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effect.  The business and affairs of the interstate commission must be wound up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§9882. Withdrawal, default, termination and judicial enforcement--Article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§9882. Withdrawal, default, termination and judicial enforcement--Article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§9882. WITHDRAWAL, DEFAULT, TERMINATION AND JUDICIAL ENFORCEMENT--ARTICLE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