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§9886. VIOLATION OF INTERSTATE COMPACT FOR ADULT OFFENDER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