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9887-A</w:t>
        <w:t xml:space="preserve">.  </w:t>
      </w:r>
      <w:r>
        <w:rPr>
          <w:b/>
        </w:rPr>
        <w:t xml:space="preserve">Application fee</w:t>
      </w:r>
    </w:p>
    <w:p>
      <w:pPr>
        <w:jc w:val="both"/>
        <w:spacing w:before="100" w:after="100"/>
        <w:ind w:start="360"/>
        <w:ind w:firstLine="360"/>
      </w:pPr>
      <w:r>
        <w:rPr/>
      </w:r>
      <w:r>
        <w:rPr/>
      </w:r>
      <w:r>
        <w:t xml:space="preserve">The department may impose on a person applying for transfer of supervision to another state under this compact an application fee of $100.  An application for transfer of supervision may not be denied solely because the person is not able to pay the fee.  When a person fails to pay the application fee, the department may refuse to process the application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processing the applications for transfer, including, but not limited to,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§9887-A.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§9887-A.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§9887-A.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