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§1221. PLANS FOR THE HOMELESS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