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§3867. Transfer from out-of-state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Transfer from out-of-state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§3867. TRANSFER FROM OUT-OF-STATE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