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§5439. PROGRAM OF STATE-FUNDED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