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9011</w:t>
        <w:t xml:space="preserve">.  </w:t>
      </w:r>
      <w:r>
        <w:rPr>
          <w:b/>
        </w:rPr>
        <w:t xml:space="preserve">Supplementary agreements--Article XI</w:t>
      </w:r>
    </w:p>
    <w:p>
      <w:pPr>
        <w:jc w:val="both"/>
        <w:spacing w:before="100" w:after="100"/>
        <w:ind w:start="360"/>
        <w:ind w:firstLine="360"/>
      </w:pPr>
      <w:r>
        <w:rPr/>
      </w:r>
      <w:r>
        <w:rPr/>
      </w:r>
      <w:r>
        <w:t xml:space="preserve">The duly constituted administrative authorities of any 2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§9011. Supplementary agreements--Article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§9011. Supplementary agreements--Article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§9011. SUPPLEMENTARY AGREEMENTS--ARTICLE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