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w:pPr>
        <w:jc w:val="both"/>
        <w:spacing w:before="100" w:after="0"/>
        <w:ind w:start="360"/>
        <w:ind w:firstLine="360"/>
      </w:pPr>
      <w:r>
        <w:rPr>
          <w:b/>
        </w:rPr>
        <w:t>10</w:t>
        <w:t xml:space="preserve">.  </w:t>
      </w:r>
      <w:r>
        <w:rPr>
          <w:b/>
        </w:rPr>
        <w:t xml:space="preserve">Designation of eligible service providers.</w:t>
        <w:t xml:space="preserve"> </w:t>
      </w:r>
      <w:r>
        <w:t xml:space="preserve"> </w:t>
      </w:r>
      <w:r>
        <w:t xml:space="preserve">The commission may designate any provider or reseller of commercial mobile radio service, as defined in 47 Code of Federal Regulations, Section 20.3, as an eligible telecommunications carrier for purposes of receiving federal universal service support and offering services supported by federal universal service support mechanisms pursuant to 47 United States Code, Sections 214(e)(1) and 214(e)(2) and 47 Code of Federal Regulations, Section 54.201.  The commission may adopt rules necessary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PL 2023, c. 568, §1 (AMD). </w:t>
      </w:r>
    </w:p>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