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1910</w:t>
        <w:t xml:space="preserve">.  </w:t>
      </w:r>
      <w:r>
        <w:rPr>
          <w:b/>
        </w:rPr>
        <w:t xml:space="preserve">Rulemaking</w:t>
      </w:r>
    </w:p>
    <w:p>
      <w:pPr>
        <w:jc w:val="both"/>
        <w:spacing w:before="100" w:after="100"/>
        <w:ind w:start="360"/>
        <w:ind w:firstLine="360"/>
      </w:pPr>
      <w:r>
        <w:rPr/>
      </w:r>
      <w:r>
        <w:rPr/>
      </w:r>
      <w:r>
        <w:t xml:space="preserve">The commission may adopt rules to implement this chapter. When adopting rules, the commission shall consider the financial implications of this chapter for transmission and distribution utilities, gas utilities and natural gas pipeline utilities.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369,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§1910.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§1910.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§1910.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