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Rate disclosures</w:t>
      </w:r>
    </w:p>
    <w:p>
      <w:pPr>
        <w:jc w:val="both"/>
        <w:spacing w:before="100" w:after="0"/>
        <w:ind w:start="360"/>
        <w:ind w:firstLine="360"/>
      </w:pPr>
      <w:r>
        <w:rPr>
          <w:b/>
        </w:rPr>
        <w:t>1</w:t>
        <w:t xml:space="preserve">.  </w:t>
      </w:r>
      <w:r>
        <w:rPr>
          <w:b/>
        </w:rPr>
        <w:t xml:space="preserve">Current transmission and distribution utility rates.</w:t>
        <w:t xml:space="preserve"> </w:t>
      </w:r>
      <w:r>
        <w:t xml:space="preserve"> </w:t>
      </w:r>
      <w:r>
        <w:t xml:space="preserve">On January 1st of each year, the commission shall publish on the commission's publicly accessible website residential transmission and distribution utility rates and standard-offer supply rates applicable for the period of January 1st to December 31st of that year. The commission shall update the published rates within 30 days of any change in those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 Rate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Rate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§3110. RATE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