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3497</w:t>
        <w:t xml:space="preserve">.  </w:t>
      </w:r>
      <w:r>
        <w:rPr>
          <w:b/>
        </w:rPr>
        <w:t xml:space="preserve">Applicability</w:t>
      </w:r>
    </w:p>
    <w:p>
      <w:pPr>
        <w:jc w:val="both"/>
        <w:spacing w:before="100" w:after="100"/>
        <w:ind w:start="360"/>
        <w:ind w:firstLine="360"/>
      </w:pPr>
      <w:r>
        <w:rPr/>
      </w:r>
      <w:r>
        <w:rPr/>
      </w:r>
      <w:r>
        <w:t xml:space="preserve">This chapter applies to a solar energy development with ground-mounted solar panels occupying 3 or more acres on which construction begins on or after October 1, 2021 and to any other solar energy development with ground-mounted solar panels occupying 3 or more acres that undergoes a transfer of ownership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2023,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