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§7504. Special telephone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Special telephone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§7504. SPECIAL TELEPHONE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