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111-A</w:t>
      </w:r>
    </w:p>
    <w:p>
      <w:pPr>
        <w:jc w:val="center"/>
        <w:ind w:start="360"/>
        <w:spacing w:before="300" w:after="300"/>
      </w:pPr>
      <w:r>
        <w:rPr>
          <w:b/>
        </w:rPr>
        <w:t xml:space="preserve">BUS TAXATION PRORATION AGREEMENT</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1494</w:t>
        <w:t xml:space="preserve">.  </w:t>
      </w:r>
      <w:r>
        <w:rPr>
          <w:b/>
        </w:rPr>
        <w:t xml:space="preserve">General provisions -- Article III</w:t>
      </w:r>
    </w:p>
    <w:p>
      <w:pPr>
        <w:jc w:val="both"/>
        <w:spacing w:before="100" w:after="0"/>
        <w:ind w:start="360"/>
        <w:ind w:firstLine="360"/>
      </w:pPr>
      <w:r>
        <w:rPr>
          <w:b/>
        </w:rPr>
        <w:t>1</w:t>
        <w:t xml:space="preserve">.  </w:t>
      </w:r>
      <w:r>
        <w:rPr>
          <w:b/>
        </w:rPr>
        <w:t xml:space="preserve">Effect on other agreements, arrangements and understandings.</w:t>
        <w:t xml:space="preserve"> </w:t>
      </w:r>
      <w:r>
        <w:t xml:space="preserve"> </w:t>
      </w:r>
      <w:r>
        <w:t xml:space="preserve">On and after its effective date, this agreement supersedes any reciprocal or other agreement, arrangement or understanding between any 2 or more of the contracting states covering, in whole or in part, any of the matters covered by this agreement; but this agreement may not affect any reciprocal or other agreement, arrangement or understanding between a contracting state and a state or states not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 to exempt vehicles.</w:t>
        <w:t xml:space="preserve"> </w:t>
      </w:r>
      <w:r>
        <w:t xml:space="preserve"> </w:t>
      </w:r>
      <w:r>
        <w:t xml:space="preserve">This agreement does not require registration in a contracting state of any vehicles that are in whole or part exempt from registration under the laws or regulations of such state without respect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Inapplicability to caravaned vehicle.</w:t>
        <w:t xml:space="preserve"> </w:t>
      </w:r>
      <w:r>
        <w:t xml:space="preserve"> </w:t>
      </w:r>
      <w:r>
        <w:t xml:space="preserve">The benefits and privileges of this agreement may not be extended to a vehicle operated on its own wheels, or in tow of a motor vehicle, transported for the purpose of selling or offering the same for sale to or by any agent, dealer, purchaser or prospective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Other fees and taxes.</w:t>
        <w:t xml:space="preserve"> </w:t>
      </w:r>
      <w:r>
        <w:t xml:space="preserve"> </w:t>
      </w:r>
      <w:r>
        <w:t xml:space="preserve">This agreement does not waive any fees or taxes charged or levied by any state in connection with the ownership or operation of vehicles other than registration fees as defined herein. All other fees and taxes must be paid to each state in accordance with the laws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Statutory vehicle regulations.</w:t>
        <w:t xml:space="preserve"> </w:t>
      </w:r>
      <w:r>
        <w:t xml:space="preserve"> </w:t>
      </w:r>
      <w:r>
        <w:t xml:space="preserve">This agreement does not authorize the operation of a vehicle in any contracting state contrary to the laws or regulations thereof, except those pertaining to registration and payment of fees; and with respect to such laws or regulations, only to the extent provided in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Violations.</w:t>
        <w:t xml:space="preserve"> </w:t>
      </w:r>
      <w:r>
        <w:t xml:space="preserve"> </w:t>
      </w:r>
      <w:r>
        <w:t xml:space="preserve">Each contracting state reserves the right to withdraw, by order of the administrator thereof, all or any part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Cooperation.</w:t>
        <w:t xml:space="preserve"> </w:t>
      </w:r>
      <w:r>
        <w:t xml:space="preserve"> </w:t>
      </w:r>
      <w:r>
        <w:t xml:space="preserve">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Interpretation.</w:t>
        <w:t xml:space="preserve"> </w:t>
      </w:r>
      <w:r>
        <w:t xml:space="preserve"> </w:t>
      </w:r>
      <w:r>
        <w:t xml:space="preserve">In any dispute between or among contracting states arising under this agreement, the final decision regarding interpretation of questions at issue relating to this agreement must be reached by joint action of the contracting states, acting through the administrator thereof, and must upon determination be placed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Effect of headings.</w:t>
        <w:t xml:space="preserve"> </w:t>
      </w:r>
      <w:r>
        <w:t xml:space="preserve"> </w:t>
      </w:r>
      <w:r>
        <w:t xml:space="preserve">Article and section heading contained herein may not be deemed to govern, limit, modify or in any manner affect the scope, meaning or intent of the provisions of any Article or part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Entry into force.</w:t>
        <w:t xml:space="preserve"> </w:t>
      </w:r>
      <w:r>
        <w:t xml:space="preserve"> </w:t>
      </w:r>
      <w:r>
        <w:t xml:space="preserve">This agreement enters into force and becomes binding between and among the contracting states when enacted or otherwise entered into by any 2 states. Thereafter, it enters into force and becomes binding with respect to any state when enacted into law by such state. If the statutes of any state so authorize or provide, such state may become party to this agreement upon the execution thereof by an executive or administrative official thereof acting on behalf of and for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PROVISIONS RELATED TO AGREEMENT</w:t>
      </w:r>
    </w:p>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111-A. BUS TAXATION PRORATION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111-A. BUS TAXATION PRORATION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111-A. BUS TAXATION PRORATION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