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457</w:t>
      </w:r>
    </w:p>
    <w:p>
      <w:pPr>
        <w:jc w:val="center"/>
        <w:ind w:start="360"/>
        <w:spacing w:before="300" w:after="300"/>
      </w:pPr>
      <w:r>
        <w:rPr>
          <w:b/>
        </w:rPr>
        <w:t xml:space="preserve">TAXATION OF MOTOR FUELS CONSUMED BY INTERSTATE BUSES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3098</w:t>
        <w:t xml:space="preserve">.  </w:t>
      </w:r>
      <w:r>
        <w:rPr>
          <w:b/>
        </w:rPr>
        <w:t xml:space="preserve">Additional tax or refund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3151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3153</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457. TAXATION OF MOTOR FUELS CONSUMED BY INTERSTATE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457. TAXATION OF MOTOR FUELS CONSUMED BY INTERSTATE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457. TAXATION OF MOTOR FUELS CONSUMED BY INTERSTATE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