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POTATO TAX</w:t>
      </w:r>
    </w:p>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709. POTATO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POTATO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709. POTATO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