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813</w:t>
      </w:r>
    </w:p>
    <w:p>
      <w:pPr>
        <w:jc w:val="center"/>
        <w:ind w:start="360"/>
        <w:spacing w:before="300" w:after="300"/>
      </w:pPr>
      <w:r>
        <w:rPr>
          <w:b/>
        </w:rPr>
        <w:t xml:space="preserve">COMPUTATION OF TAXABLE INCOME OF NONRESIDENT TRUSTS AND ESTATES</w:t>
      </w:r>
    </w:p>
    <w:p>
      <w:pPr>
        <w:jc w:val="both"/>
        <w:spacing w:before="100" w:after="100"/>
        <w:ind w:start="1080" w:hanging="720"/>
      </w:pPr>
      <w:r>
        <w:rPr>
          <w:b/>
        </w:rPr>
        <w:t>§</w:t>
        <w:t>5175</w:t>
        <w:t xml:space="preserve">.  </w:t>
      </w:r>
      <w:r>
        <w:rPr>
          <w:b/>
        </w:rPr>
        <w:t xml:space="preserve">Maine taxable income of a nonresident estate or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§37 (AMD). PL 2009, c. 434, §70 (RP). </w:t>
      </w:r>
    </w:p>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jc w:val="both"/>
        <w:spacing w:before="100" w:after="100"/>
        <w:ind w:start="1080" w:hanging="720"/>
      </w:pPr>
      <w:r>
        <w:rPr>
          <w:b/>
        </w:rPr>
        <w:t>§</w:t>
        <w:t>5177</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813. COMPUTATION OF TAXABLE INCOME OF NONRESIDENT TRUSTS AND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813. COMPUTATION OF TAXABLE INCOME OF NONRESIDENT TRUSTS AND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813. COMPUTATION OF TAXABLE INCOME OF NONRESIDENT TRUSTS AND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