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Owner's right to redeem</w:t>
      </w:r>
    </w:p>
    <w:p>
      <w:pPr>
        <w:jc w:val="both"/>
        <w:spacing w:before="100" w:after="100"/>
        <w:ind w:start="360"/>
        <w:ind w:firstLine="360"/>
      </w:pPr>
      <w:r>
        <w:rPr/>
      </w:r>
      <w:r>
        <w:rPr/>
      </w:r>
      <w:r>
        <w:t xml:space="preserve">Any person to whom the right by law belongs may, at any time within 2 years from the day of sale, redeem any real estate sold for taxes on paying into the municipal treasury for the purchaser the full amount certified to be due, including taxes, costs and charges, with interest on the whole at the rate of 8% a year from the date of the sale, which shall be received and held by said treasurer as the property of the purchaser aforesaid. The treasurer shall pay it to said purchaser, his heirs or assigns, on demand. If not paid when demanded, the purchaser may recover it in any court of competent jurisdiction, with costs and interest at the rate of 8%, after such demand. The sureties of the treasurer shall pay the same on failure of said treasurer. In default of payment by either, the municipality shall pay the same with costs and interest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§1078. Owner's right to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Owner's right to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§1078. OWNER'S RIGHT TO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