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 Collection of taxes in unorganized territory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Collection of taxes in unorganized territory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§1285. COLLECTION OF TAXES IN UNORGANIZED TERRITORY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