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§1951-C. COLLECTION OF TAX BY MARKETPLACE FACILITATORS AND MARKETPLACE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