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Refund of entire tax paid by certain common carriers</w:t>
      </w:r>
    </w:p>
    <w:p>
      <w:pPr>
        <w:jc w:val="both"/>
        <w:spacing w:before="100" w:after="100"/>
        <w:ind w:start="360"/>
        <w:ind w:firstLine="360"/>
      </w:pPr>
      <w:r>
        <w:rPr/>
      </w:r>
      <w:r>
        <w:rPr/>
      </w:r>
      <w:r>
        <w:t xml:space="preserve">A person engaged in furnishing common carrier passenger service is entitled to reimbursement of the tax paid on internal combustion engine fuel used by that person in locally encouraged vehicles.  For purposes of calculating reimbursement due pursuant to this section, internal combustion engine fuel used in a person's locally encouraged vehicles is presumed to bear the same proportional relationship to internal combustion engine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§47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479, §1 (AMD). PL 2003, c. 390, §14 (RPR). PL 2005, c. 332, §17 (AMD). PL 2007, c. 438, §71 (AMD). PL 2009, c. 598,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§2909. Refund of entire tax paid by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Refund of entire tax paid by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§2909. REFUND OF ENTIRE TAX PAID BY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