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2913</w:t>
        <w:t xml:space="preserve">.  </w:t>
      </w:r>
      <w:r>
        <w:rPr>
          <w:b/>
        </w:rPr>
        <w:t xml:space="preserve">Failure to file statement; false statement</w:t>
      </w:r>
    </w:p>
    <w:p>
      <w:pPr>
        <w:jc w:val="both"/>
        <w:spacing w:before="100" w:after="100"/>
        <w:ind w:start="360"/>
        <w:ind w:firstLine="360"/>
      </w:pPr>
      <w:r>
        <w:rPr/>
      </w:r>
      <w:r>
        <w:rPr/>
      </w:r>
      <w:r>
        <w:t xml:space="preserve">A person who refuses or neglects to make any statement, report, payment or return required by this chapter, or who knowingly makes or assists any other person in making a false statement in a return or report to the State Tax Assessor or in connection with an application for refund , or who knowingly collects, attempts to collect or causes to be paid  to any  person, either directly or indirectly, any refund  to which the person is not entitled ,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438, §73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 §2 (AMD). PL 1977, c. 696, §281 (AMD). PL 1983, c. 94, §D9 (AMD). PL 1985, c. 127, §1 (RPR). PL 2007, c. 438, §73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§2913. Failure to file statement; false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§2913. Failure to file statement; false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§2913. FAILURE TO FILE STATEMENT; FALSE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