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§3919. Filing of determination of domicile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Filing of determination of domicile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§3919. FILING OF DETERMINATION OF DOMICILE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