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3921</w:t>
        <w:t xml:space="preserve">.  </w:t>
      </w:r>
      <w:r>
        <w:rPr>
          <w:b/>
        </w:rPr>
        <w:t xml:space="preserve">Compromise by parties to arbitration agreement</w:t>
      </w:r>
    </w:p>
    <w:p>
      <w:pPr>
        <w:jc w:val="both"/>
        <w:spacing w:before="100" w:after="100"/>
        <w:ind w:start="360"/>
        <w:ind w:firstLine="360"/>
      </w:pPr>
      <w:r>
        <w:rPr/>
      </w:r>
      <w:r>
        <w:rPr/>
      </w:r>
      <w:r>
        <w:t xml:space="preserve">Nothing contained herein shall prevent at any time a written compromise, if otherwise lawful, by all parties to the agreement made pursuant to </w:t>
      </w:r>
      <w:r>
        <w:t>section 3914</w:t>
      </w:r>
      <w:r>
        <w:t xml:space="preserve">, fixing the amounts to be accepted by this and any other state involved in full satisfaction of death taxes.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§3921. Compromise by parties to arbitration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§3921. Compromise by parties to arbitration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§3921. COMPROMISE BY PARTIES TO ARBITRATION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