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Advisory committee</w:t>
      </w:r>
    </w:p>
    <w:p>
      <w:pPr>
        <w:jc w:val="both"/>
        <w:spacing w:before="100" w:after="100"/>
        <w:ind w:start="360"/>
        <w:ind w:firstLine="360"/>
      </w:pPr>
      <w:r>
        <w:rPr/>
      </w:r>
      <w:r>
        <w:rPr/>
      </w:r>
      <w:r>
        <w:t xml:space="preserve">The University of Maine System Wild Blueberry Advisory Committee, as authorized by </w:t>
      </w:r>
      <w:r>
        <w:t>Title 5, chapter 379</w:t>
      </w:r>
      <w:r>
        <w:t xml:space="preserve">, is appointed by the Wild Blueberry Commission of Maine.  The committee consists of 7 members who are active in and representative of the wild blueberry industry.  The duty of the committee is to advise and work with the University of Maine System to develop and approve a plan of work and budgets for research and extension programs related to the production and use of wild blueberries.</w:t>
      </w:r>
      <w:r>
        <w:t xml:space="preserve">  </w:t>
      </w:r>
      <w:r xmlns:wp="http://schemas.openxmlformats.org/drawingml/2010/wordprocessingDrawing" xmlns:w15="http://schemas.microsoft.com/office/word/2012/wordml">
        <w:rPr>
          <w:rFonts w:ascii="Arial" w:hAnsi="Arial" w:cs="Arial"/>
          <w:sz w:val="22"/>
          <w:szCs w:val="22"/>
        </w:rPr>
        <w:t xml:space="preserve">[PL 1997, c. 511, §19 (AMD).]</w:t>
      </w:r>
    </w:p>
    <w:p>
      <w:pPr>
        <w:jc w:val="both"/>
        <w:spacing w:before="100" w:after="100"/>
        <w:ind w:start="360"/>
        <w:ind w:firstLine="360"/>
      </w:pPr>
      <w:r>
        <w:rPr/>
      </w:r>
      <w:r>
        <w:rPr/>
      </w:r>
      <w:r>
        <w:t xml:space="preserve">Current members of the advisory committee shall continue to serve for the duration of their current appointments.  New appointments to the advisory committee must be for terms of 4 years, and members may be reappointed for additional terms.</w:t>
      </w:r>
      <w:r>
        <w:t xml:space="preserve">  </w:t>
      </w:r>
      <w:r xmlns:wp="http://schemas.openxmlformats.org/drawingml/2010/wordprocessingDrawing" xmlns:w15="http://schemas.microsoft.com/office/word/2012/wordml">
        <w:rPr>
          <w:rFonts w:ascii="Arial" w:hAnsi="Arial" w:cs="Arial"/>
          <w:sz w:val="22"/>
          <w:szCs w:val="22"/>
        </w:rPr>
        <w:t xml:space="preserve">[PL 2019, c. 186,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§6 (AMD). PL 1983, c. 836, §9 (RPR). PL 1985, c. 75 (AMD). PL 1985, c. 295, §55 (AMD). PL 1985, c. 737, §A99 (AMD). PL 1985, c. 779, §82 (AMD). PL 1987, c. 402, §A186 (AMD). PL 1989, c. 503, §B166 (AMD). PL 1997, c. 511, §19 (AMD). PL 2019, c. 186,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