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§4366-C. Sales of cigarettes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§4366-C. Sales of cigarettes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§4366-C. SALES OF CIGARETTES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