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§4641-L. NO EFFECT ON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